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1FD4" w14:textId="77777777" w:rsidR="00EA1F42" w:rsidRDefault="001B7EC3" w:rsidP="002B5D69">
      <w:pPr>
        <w:jc w:val="center"/>
        <w:rPr>
          <w:color w:val="1F497D" w:themeColor="text2"/>
        </w:rPr>
      </w:pPr>
      <w:r>
        <w:rPr>
          <w:noProof/>
          <w:lang w:eastAsia="en-IE"/>
        </w:rPr>
        <w:drawing>
          <wp:inline distT="0" distB="0" distL="0" distR="0" wp14:anchorId="30F75EC0" wp14:editId="1CFAB050">
            <wp:extent cx="3841845" cy="84790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6312" cy="8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FBD2" w14:textId="77777777" w:rsidR="008F3AE2" w:rsidRPr="00376E5E" w:rsidRDefault="00180052" w:rsidP="004E6D1A">
      <w:pPr>
        <w:jc w:val="center"/>
        <w:rPr>
          <w:b/>
          <w:color w:val="000000" w:themeColor="text1"/>
          <w:sz w:val="28"/>
          <w:szCs w:val="28"/>
        </w:rPr>
      </w:pPr>
      <w:r w:rsidRPr="00376E5E">
        <w:rPr>
          <w:b/>
          <w:color w:val="000000" w:themeColor="text1"/>
          <w:sz w:val="28"/>
          <w:szCs w:val="28"/>
        </w:rPr>
        <w:t xml:space="preserve">DYNAMIC PURCHASING SYSTEM </w:t>
      </w:r>
    </w:p>
    <w:p w14:paraId="72C9E5D1" w14:textId="3E51156E" w:rsidR="008F3AE2" w:rsidRPr="00376E5E" w:rsidRDefault="00180052" w:rsidP="004E6D1A">
      <w:pPr>
        <w:jc w:val="center"/>
        <w:rPr>
          <w:b/>
          <w:color w:val="000000" w:themeColor="text1"/>
          <w:sz w:val="28"/>
          <w:szCs w:val="28"/>
        </w:rPr>
      </w:pPr>
      <w:r w:rsidRPr="00376E5E">
        <w:rPr>
          <w:b/>
          <w:color w:val="000000" w:themeColor="text1"/>
          <w:sz w:val="28"/>
          <w:szCs w:val="28"/>
        </w:rPr>
        <w:t xml:space="preserve">FOR </w:t>
      </w:r>
    </w:p>
    <w:p w14:paraId="3ED1CDB3" w14:textId="294B06D0" w:rsidR="00EA1F42" w:rsidRPr="00376E5E" w:rsidRDefault="008F3AE2" w:rsidP="004E6D1A">
      <w:pPr>
        <w:jc w:val="center"/>
        <w:rPr>
          <w:b/>
          <w:color w:val="000000" w:themeColor="text1"/>
          <w:sz w:val="28"/>
          <w:szCs w:val="28"/>
        </w:rPr>
      </w:pPr>
      <w:r w:rsidRPr="00376E5E">
        <w:rPr>
          <w:b/>
          <w:color w:val="000000" w:themeColor="text1"/>
          <w:sz w:val="28"/>
          <w:szCs w:val="28"/>
        </w:rPr>
        <w:t>BUILDING CONTRACTORS FOR MINOR BUILDING WORKS ON RESIDENTIAL PROPERTIES</w:t>
      </w:r>
    </w:p>
    <w:p w14:paraId="4D16AF6E" w14:textId="77777777" w:rsidR="00E848B4" w:rsidRDefault="00E848B4" w:rsidP="00EA1F42">
      <w:pPr>
        <w:jc w:val="both"/>
        <w:rPr>
          <w:color w:val="000000" w:themeColor="text1"/>
        </w:rPr>
      </w:pPr>
    </w:p>
    <w:p w14:paraId="3E9D14D3" w14:textId="78ADA461" w:rsidR="00830E23" w:rsidRDefault="00E848B4" w:rsidP="00EA1F42">
      <w:pPr>
        <w:jc w:val="both"/>
        <w:rPr>
          <w:color w:val="000000" w:themeColor="text1"/>
        </w:rPr>
      </w:pPr>
      <w:r w:rsidRPr="00E848B4">
        <w:rPr>
          <w:color w:val="000000" w:themeColor="text1"/>
        </w:rPr>
        <w:t xml:space="preserve">The Local Government Operational Procurement Centre (LGOPC) has published a new Request </w:t>
      </w:r>
      <w:r>
        <w:rPr>
          <w:color w:val="000000" w:themeColor="text1"/>
        </w:rPr>
        <w:t xml:space="preserve">to </w:t>
      </w:r>
      <w:r w:rsidRPr="00E848B4">
        <w:rPr>
          <w:color w:val="000000" w:themeColor="text1"/>
        </w:rPr>
        <w:t xml:space="preserve">Tender (RFT) on </w:t>
      </w:r>
      <w:hyperlink r:id="rId7" w:history="1">
        <w:r w:rsidRPr="00327C81">
          <w:rPr>
            <w:rStyle w:val="Hyperlink"/>
            <w:lang w:val="en-IE" w:eastAsia="en-US"/>
          </w:rPr>
          <w:t>www.etenders.gov.ie</w:t>
        </w:r>
      </w:hyperlink>
      <w:r>
        <w:rPr>
          <w:color w:val="000000" w:themeColor="text1"/>
        </w:rPr>
        <w:t xml:space="preserve"> (</w:t>
      </w:r>
      <w:r w:rsidRPr="00E848B4">
        <w:rPr>
          <w:color w:val="000000" w:themeColor="text1"/>
        </w:rPr>
        <w:t>eTenders</w:t>
      </w:r>
      <w:r>
        <w:rPr>
          <w:color w:val="000000" w:themeColor="text1"/>
        </w:rPr>
        <w:t>)</w:t>
      </w:r>
      <w:r w:rsidRPr="00E848B4">
        <w:rPr>
          <w:color w:val="000000" w:themeColor="text1"/>
        </w:rPr>
        <w:t xml:space="preserve"> to establish a Dynamic Purchasing System for </w:t>
      </w:r>
      <w:r w:rsidRPr="00E848B4">
        <w:rPr>
          <w:b/>
          <w:bCs/>
          <w:color w:val="000000" w:themeColor="text1"/>
        </w:rPr>
        <w:t>Building Contractors for Minor Building Works on Residential Properties</w:t>
      </w:r>
      <w:r w:rsidR="00440D14">
        <w:rPr>
          <w:b/>
          <w:bCs/>
          <w:color w:val="000000" w:themeColor="text1"/>
        </w:rPr>
        <w:t xml:space="preserve"> </w:t>
      </w:r>
      <w:r w:rsidR="00440D14" w:rsidRPr="00440D14">
        <w:rPr>
          <w:color w:val="000000" w:themeColor="text1"/>
        </w:rPr>
        <w:t>(</w:t>
      </w:r>
      <w:r w:rsidR="001F5CD7">
        <w:rPr>
          <w:color w:val="000000" w:themeColor="text1"/>
        </w:rPr>
        <w:t>“</w:t>
      </w:r>
      <w:r w:rsidR="00440D14" w:rsidRPr="00440D14">
        <w:rPr>
          <w:color w:val="000000" w:themeColor="text1"/>
        </w:rPr>
        <w:t>the DPS</w:t>
      </w:r>
      <w:r w:rsidR="001F5CD7">
        <w:rPr>
          <w:color w:val="000000" w:themeColor="text1"/>
        </w:rPr>
        <w:t>”</w:t>
      </w:r>
      <w:r w:rsidR="00440D14" w:rsidRPr="00440D14">
        <w:rPr>
          <w:color w:val="000000" w:themeColor="text1"/>
        </w:rPr>
        <w:t>)</w:t>
      </w:r>
      <w:r w:rsidRPr="00E848B4">
        <w:rPr>
          <w:color w:val="000000" w:themeColor="text1"/>
        </w:rPr>
        <w:t>.</w:t>
      </w:r>
    </w:p>
    <w:p w14:paraId="7D0A7654" w14:textId="5CDEE75E" w:rsidR="00CD0E75" w:rsidRDefault="00311702" w:rsidP="00EA1F42">
      <w:pPr>
        <w:jc w:val="both"/>
        <w:rPr>
          <w:color w:val="000000" w:themeColor="text1"/>
        </w:rPr>
      </w:pPr>
      <w:r>
        <w:rPr>
          <w:color w:val="000000" w:themeColor="text1"/>
        </w:rPr>
        <w:t>When established</w:t>
      </w:r>
      <w:r w:rsidR="00174D9F">
        <w:rPr>
          <w:color w:val="000000" w:themeColor="text1"/>
        </w:rPr>
        <w:t>,</w:t>
      </w:r>
      <w:r w:rsidR="0008314E" w:rsidRPr="00311702">
        <w:rPr>
          <w:color w:val="000000" w:themeColor="text1"/>
        </w:rPr>
        <w:t xml:space="preserve"> </w:t>
      </w:r>
      <w:r w:rsidR="0022077E">
        <w:rPr>
          <w:color w:val="000000" w:themeColor="text1"/>
        </w:rPr>
        <w:t xml:space="preserve">Public </w:t>
      </w:r>
      <w:r w:rsidR="00B144B4">
        <w:rPr>
          <w:color w:val="000000" w:themeColor="text1"/>
        </w:rPr>
        <w:t xml:space="preserve">Service </w:t>
      </w:r>
      <w:r w:rsidR="0022077E">
        <w:rPr>
          <w:color w:val="000000" w:themeColor="text1"/>
        </w:rPr>
        <w:t>Bodies</w:t>
      </w:r>
      <w:r w:rsidR="000D3471">
        <w:rPr>
          <w:color w:val="000000" w:themeColor="text1"/>
        </w:rPr>
        <w:t xml:space="preserve"> (including local authorities)</w:t>
      </w:r>
      <w:r w:rsidR="00EC07E8">
        <w:rPr>
          <w:color w:val="000000" w:themeColor="text1"/>
        </w:rPr>
        <w:t xml:space="preserve"> will</w:t>
      </w:r>
      <w:r w:rsidR="00CD0E75">
        <w:rPr>
          <w:color w:val="000000" w:themeColor="text1"/>
        </w:rPr>
        <w:t xml:space="preserve"> run </w:t>
      </w:r>
      <w:r w:rsidR="00E848B4">
        <w:rPr>
          <w:color w:val="000000" w:themeColor="text1"/>
        </w:rPr>
        <w:t>Supplementary Request for Tenders (mini-</w:t>
      </w:r>
      <w:r w:rsidR="00CD0E75">
        <w:rPr>
          <w:color w:val="000000" w:themeColor="text1"/>
        </w:rPr>
        <w:t>competitions</w:t>
      </w:r>
      <w:r w:rsidR="00E848B4">
        <w:rPr>
          <w:color w:val="000000" w:themeColor="text1"/>
        </w:rPr>
        <w:t>)</w:t>
      </w:r>
      <w:r w:rsidR="00CD0E75">
        <w:rPr>
          <w:color w:val="000000" w:themeColor="text1"/>
        </w:rPr>
        <w:t xml:space="preserve"> with the </w:t>
      </w:r>
      <w:r w:rsidR="00282D4D">
        <w:rPr>
          <w:color w:val="000000" w:themeColor="text1"/>
        </w:rPr>
        <w:t>Economic Operators</w:t>
      </w:r>
      <w:r w:rsidR="00EC681A">
        <w:rPr>
          <w:color w:val="000000" w:themeColor="text1"/>
        </w:rPr>
        <w:t xml:space="preserve"> </w:t>
      </w:r>
      <w:r w:rsidR="00EC681A" w:rsidRPr="00311702">
        <w:rPr>
          <w:color w:val="000000" w:themeColor="text1"/>
        </w:rPr>
        <w:t>admitted to the</w:t>
      </w:r>
      <w:r w:rsidR="0017485F" w:rsidRPr="00311702">
        <w:rPr>
          <w:color w:val="000000" w:themeColor="text1"/>
        </w:rPr>
        <w:t xml:space="preserve"> </w:t>
      </w:r>
      <w:r w:rsidR="00F747F9">
        <w:rPr>
          <w:color w:val="000000" w:themeColor="text1"/>
        </w:rPr>
        <w:t>DPS</w:t>
      </w:r>
      <w:r w:rsidR="00CD0E75">
        <w:rPr>
          <w:color w:val="000000" w:themeColor="text1"/>
        </w:rPr>
        <w:t>.</w:t>
      </w:r>
    </w:p>
    <w:p w14:paraId="156A813C" w14:textId="77E21270" w:rsidR="00CD0E75" w:rsidRDefault="00C456AF" w:rsidP="00EA1F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To access the </w:t>
      </w:r>
      <w:r w:rsidR="00F747F9">
        <w:rPr>
          <w:color w:val="000000" w:themeColor="text1"/>
        </w:rPr>
        <w:t>DPS</w:t>
      </w:r>
      <w:r>
        <w:rPr>
          <w:color w:val="000000" w:themeColor="text1"/>
        </w:rPr>
        <w:t xml:space="preserve"> </w:t>
      </w:r>
      <w:r w:rsidR="00E848B4">
        <w:rPr>
          <w:color w:val="000000" w:themeColor="text1"/>
        </w:rPr>
        <w:t>tender documents</w:t>
      </w:r>
      <w:r>
        <w:rPr>
          <w:color w:val="000000" w:themeColor="text1"/>
        </w:rPr>
        <w:t xml:space="preserve">, </w:t>
      </w:r>
      <w:r w:rsidR="00E848B4">
        <w:rPr>
          <w:color w:val="000000" w:themeColor="text1"/>
        </w:rPr>
        <w:t xml:space="preserve">please ensure you register on the Office of Government Procurement (OGP) website </w:t>
      </w:r>
      <w:hyperlink r:id="rId8" w:history="1">
        <w:r w:rsidR="00E848B4" w:rsidRPr="00863705">
          <w:rPr>
            <w:rStyle w:val="Hyperlink"/>
            <w:lang w:val="en-IE" w:eastAsia="en-US"/>
          </w:rPr>
          <w:t>www.etenders.gov.ie</w:t>
        </w:r>
      </w:hyperlink>
      <w:r w:rsidR="00E848B4" w:rsidRPr="005737E9">
        <w:rPr>
          <w:color w:val="000000" w:themeColor="text1"/>
        </w:rPr>
        <w:t xml:space="preserve"> and search for this tender using the System Id number shown in the Table below</w:t>
      </w:r>
      <w:r w:rsidR="00E848B4">
        <w:rPr>
          <w:color w:val="000000" w:themeColor="text1"/>
        </w:rPr>
        <w:t>.</w:t>
      </w:r>
    </w:p>
    <w:p w14:paraId="047C82C0" w14:textId="6A4A25EA" w:rsidR="0008314E" w:rsidRDefault="0008314E" w:rsidP="00EA1F42">
      <w:pPr>
        <w:jc w:val="both"/>
        <w:rPr>
          <w:color w:val="000000" w:themeColor="text1"/>
        </w:rPr>
      </w:pPr>
      <w:r w:rsidRPr="00311702">
        <w:rPr>
          <w:color w:val="000000" w:themeColor="text1"/>
        </w:rPr>
        <w:t xml:space="preserve">All Applications </w:t>
      </w:r>
      <w:r w:rsidR="00E848B4">
        <w:rPr>
          <w:color w:val="000000" w:themeColor="text1"/>
        </w:rPr>
        <w:t xml:space="preserve">for admittance to the </w:t>
      </w:r>
      <w:r w:rsidR="00F747F9">
        <w:rPr>
          <w:color w:val="000000" w:themeColor="text1"/>
        </w:rPr>
        <w:t>DPS</w:t>
      </w:r>
      <w:r w:rsidR="00E848B4">
        <w:rPr>
          <w:color w:val="000000" w:themeColor="text1"/>
        </w:rPr>
        <w:t xml:space="preserve"> </w:t>
      </w:r>
      <w:r w:rsidRPr="00311702">
        <w:rPr>
          <w:color w:val="000000" w:themeColor="text1"/>
        </w:rPr>
        <w:t xml:space="preserve">must be completed electronically on </w:t>
      </w:r>
      <w:hyperlink w:history="1">
        <w:r w:rsidR="00DF4F01" w:rsidRPr="005B6C3B">
          <w:rPr>
            <w:rStyle w:val="Hyperlink"/>
            <w:lang w:val="en-IE" w:eastAsia="en-US"/>
          </w:rPr>
          <w:t>www.etenders.gov.ie</w:t>
        </w:r>
      </w:hyperlink>
      <w:r w:rsidR="00F96D6E">
        <w:rPr>
          <w:color w:val="000000" w:themeColor="text1"/>
        </w:rPr>
        <w:t>.</w:t>
      </w:r>
      <w:r w:rsidRPr="00311702">
        <w:rPr>
          <w:color w:val="000000" w:themeColor="text1"/>
        </w:rPr>
        <w:t xml:space="preserve"> </w:t>
      </w:r>
    </w:p>
    <w:p w14:paraId="376AD5D5" w14:textId="717D5437" w:rsidR="008D502E" w:rsidRPr="00311702" w:rsidRDefault="008D502E" w:rsidP="008D502E">
      <w:pPr>
        <w:jc w:val="both"/>
        <w:rPr>
          <w:color w:val="000000" w:themeColor="text1"/>
        </w:rPr>
      </w:pPr>
      <w:r w:rsidRPr="008D502E">
        <w:rPr>
          <w:color w:val="000000" w:themeColor="text1"/>
        </w:rPr>
        <w:t xml:space="preserve">The application process on eTenders will remain open after the initial application </w:t>
      </w:r>
      <w:r>
        <w:rPr>
          <w:color w:val="000000" w:themeColor="text1"/>
        </w:rPr>
        <w:t>c</w:t>
      </w:r>
      <w:r w:rsidRPr="008D502E">
        <w:rPr>
          <w:color w:val="000000" w:themeColor="text1"/>
        </w:rPr>
        <w:t>losing</w:t>
      </w:r>
      <w:r>
        <w:rPr>
          <w:color w:val="000000" w:themeColor="text1"/>
        </w:rPr>
        <w:t xml:space="preserve"> d</w:t>
      </w:r>
      <w:r w:rsidRPr="008D502E">
        <w:rPr>
          <w:color w:val="000000" w:themeColor="text1"/>
        </w:rPr>
        <w:t xml:space="preserve">ate </w:t>
      </w:r>
      <w:r>
        <w:rPr>
          <w:color w:val="000000" w:themeColor="text1"/>
        </w:rPr>
        <w:t>and</w:t>
      </w:r>
      <w:r w:rsidRPr="008D502E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Pr="008D502E">
        <w:rPr>
          <w:color w:val="000000" w:themeColor="text1"/>
        </w:rPr>
        <w:t xml:space="preserve">ime </w:t>
      </w:r>
      <w:r w:rsidR="00AB0BC4" w:rsidRPr="008D502E">
        <w:rPr>
          <w:color w:val="000000" w:themeColor="text1"/>
        </w:rPr>
        <w:t>passes</w:t>
      </w:r>
      <w:r w:rsidR="00AB0BC4">
        <w:rPr>
          <w:color w:val="000000" w:themeColor="text1"/>
        </w:rPr>
        <w:t xml:space="preserve"> and</w:t>
      </w:r>
      <w:r w:rsidRPr="008D502E">
        <w:rPr>
          <w:color w:val="000000" w:themeColor="text1"/>
        </w:rPr>
        <w:t xml:space="preserve"> will continue to remain open to new and previously unsuccessful applications over the </w:t>
      </w:r>
      <w:r w:rsidR="00AB0BC4">
        <w:rPr>
          <w:color w:val="000000" w:themeColor="text1"/>
        </w:rPr>
        <w:t>period of validity (term)</w:t>
      </w:r>
      <w:r w:rsidRPr="008D502E">
        <w:rPr>
          <w:color w:val="000000" w:themeColor="text1"/>
        </w:rPr>
        <w:t xml:space="preserve"> of the DPS.</w:t>
      </w:r>
    </w:p>
    <w:p w14:paraId="31EC9312" w14:textId="665C1B91" w:rsidR="00C456AF" w:rsidRDefault="00E848B4" w:rsidP="00C456AF">
      <w:pPr>
        <w:jc w:val="both"/>
        <w:rPr>
          <w:color w:val="000000" w:themeColor="text1"/>
        </w:rPr>
      </w:pPr>
      <w:r w:rsidRPr="00E848B4">
        <w:rPr>
          <w:color w:val="000000" w:themeColor="text1"/>
        </w:rPr>
        <w:t>Should you wish to learn more about th</w:t>
      </w:r>
      <w:r w:rsidR="00AB0BC4">
        <w:rPr>
          <w:color w:val="000000" w:themeColor="text1"/>
        </w:rPr>
        <w:t>e</w:t>
      </w:r>
      <w:r w:rsidRPr="00E848B4">
        <w:rPr>
          <w:color w:val="000000" w:themeColor="text1"/>
        </w:rPr>
        <w:t xml:space="preserve"> </w:t>
      </w:r>
      <w:r w:rsidR="00F747F9">
        <w:rPr>
          <w:color w:val="000000" w:themeColor="text1"/>
        </w:rPr>
        <w:t>DPS</w:t>
      </w:r>
      <w:r w:rsidRPr="00E848B4">
        <w:rPr>
          <w:color w:val="000000" w:themeColor="text1"/>
        </w:rPr>
        <w:t>, please contact the LGOPC Helpdesk at 066 718 3734 or by email at eproc@kerrycoco.ie.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842"/>
        <w:gridCol w:w="2410"/>
      </w:tblGrid>
      <w:tr w:rsidR="00180052" w:rsidRPr="00EC0E47" w14:paraId="7D71181D" w14:textId="77777777" w:rsidTr="00DF4F01">
        <w:trPr>
          <w:trHeight w:val="737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14:paraId="5BD2DCD3" w14:textId="3812EDE5" w:rsidR="00180052" w:rsidRPr="00EC0E47" w:rsidRDefault="00311702" w:rsidP="00DF4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Competition </w:t>
            </w:r>
            <w:r w:rsidR="00180052" w:rsidRPr="00EC0E47">
              <w:rPr>
                <w:b/>
                <w:color w:val="000000" w:themeColor="text1"/>
              </w:rPr>
              <w:t>Name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436E68D6" w14:textId="77777777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>Publishing</w:t>
            </w:r>
          </w:p>
          <w:p w14:paraId="7DB8BFF1" w14:textId="736DBD09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>Date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33A87777" w14:textId="658286EF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Initial </w:t>
            </w:r>
            <w:r w:rsidR="0008314E" w:rsidRPr="00311702">
              <w:rPr>
                <w:b/>
                <w:color w:val="000000" w:themeColor="text1"/>
              </w:rPr>
              <w:t>Application</w:t>
            </w:r>
            <w:r w:rsidR="0008314E">
              <w:rPr>
                <w:b/>
                <w:color w:val="000000" w:themeColor="text1"/>
              </w:rPr>
              <w:t xml:space="preserve"> </w:t>
            </w:r>
            <w:r w:rsidRPr="00EC0E47">
              <w:rPr>
                <w:b/>
                <w:color w:val="000000" w:themeColor="text1"/>
              </w:rPr>
              <w:t>Closing</w:t>
            </w:r>
          </w:p>
          <w:p w14:paraId="60FBCDE5" w14:textId="6BC3A0E3" w:rsidR="00180052" w:rsidRPr="00EC0E47" w:rsidRDefault="00180052" w:rsidP="00DF4F01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>Date</w:t>
            </w:r>
            <w:r w:rsidR="008D502E">
              <w:rPr>
                <w:b/>
                <w:color w:val="000000" w:themeColor="text1"/>
              </w:rPr>
              <w:t xml:space="preserve"> &amp; Time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41A21C79" w14:textId="123C5CA0" w:rsidR="00180052" w:rsidRPr="00EC0E47" w:rsidRDefault="00F747F9">
            <w:pPr>
              <w:jc w:val="center"/>
              <w:rPr>
                <w:b/>
                <w:color w:val="000000" w:themeColor="text1"/>
              </w:rPr>
            </w:pPr>
            <w:r w:rsidRPr="00F747F9">
              <w:rPr>
                <w:b/>
                <w:color w:val="000000" w:themeColor="text1"/>
              </w:rPr>
              <w:t xml:space="preserve">DPS Established 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3716B6D7" w14:textId="379A9DBD" w:rsidR="00180052" w:rsidRPr="00EC0E47" w:rsidRDefault="00180052">
            <w:pPr>
              <w:jc w:val="center"/>
              <w:rPr>
                <w:b/>
                <w:color w:val="000000" w:themeColor="text1"/>
              </w:rPr>
            </w:pPr>
            <w:r w:rsidRPr="00EC0E47">
              <w:rPr>
                <w:b/>
                <w:color w:val="000000" w:themeColor="text1"/>
              </w:rPr>
              <w:t xml:space="preserve">Publishing </w:t>
            </w:r>
            <w:r>
              <w:rPr>
                <w:b/>
                <w:color w:val="000000" w:themeColor="text1"/>
              </w:rPr>
              <w:t>W</w:t>
            </w:r>
            <w:r w:rsidRPr="00EC0E47">
              <w:rPr>
                <w:b/>
                <w:color w:val="000000" w:themeColor="text1"/>
              </w:rPr>
              <w:t>ebsite</w:t>
            </w:r>
          </w:p>
        </w:tc>
      </w:tr>
      <w:tr w:rsidR="00180052" w14:paraId="22BE4F5F" w14:textId="77777777" w:rsidTr="00DF4F01">
        <w:trPr>
          <w:trHeight w:val="1615"/>
        </w:trPr>
        <w:tc>
          <w:tcPr>
            <w:tcW w:w="2263" w:type="dxa"/>
          </w:tcPr>
          <w:p w14:paraId="76B711B5" w14:textId="77777777" w:rsidR="00180052" w:rsidRPr="00D80475" w:rsidRDefault="00180052" w:rsidP="00EA1F42">
            <w:pPr>
              <w:jc w:val="both"/>
              <w:rPr>
                <w:b/>
              </w:rPr>
            </w:pPr>
          </w:p>
          <w:p w14:paraId="7F7E29CB" w14:textId="5BED52C4" w:rsidR="00180052" w:rsidRPr="004E6D1A" w:rsidRDefault="00DE05C1" w:rsidP="00C456AF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lang w:val="en-US"/>
              </w:rPr>
            </w:pPr>
            <w:r w:rsidRPr="00DE05C1">
              <w:rPr>
                <w:rFonts w:cs="Tahoma"/>
                <w:b/>
                <w:bCs/>
                <w:lang w:val="en-US"/>
              </w:rPr>
              <w:t>Building Contractors for Minor Building Works on Residential Properties</w:t>
            </w:r>
            <w:r w:rsidR="006E15CB">
              <w:rPr>
                <w:rFonts w:cs="Tahoma"/>
                <w:b/>
                <w:bCs/>
                <w:lang w:val="en-US"/>
              </w:rPr>
              <w:t xml:space="preserve"> (</w:t>
            </w:r>
            <w:r w:rsidR="006E15CB" w:rsidRPr="004E6D1A">
              <w:rPr>
                <w:rFonts w:cs="Tahoma"/>
                <w:b/>
                <w:bCs/>
                <w:lang w:val="en-US"/>
              </w:rPr>
              <w:t>Dynamic Purchasing System</w:t>
            </w:r>
            <w:r w:rsidR="006E15CB">
              <w:rPr>
                <w:rFonts w:cs="Tahoma"/>
                <w:b/>
                <w:bCs/>
                <w:lang w:val="en-US"/>
              </w:rPr>
              <w:t>)</w:t>
            </w:r>
          </w:p>
          <w:p w14:paraId="26165DD7" w14:textId="77777777" w:rsidR="00180052" w:rsidRPr="00D80475" w:rsidRDefault="00180052" w:rsidP="00EC0E47">
            <w:pPr>
              <w:autoSpaceDE w:val="0"/>
              <w:autoSpaceDN w:val="0"/>
              <w:adjustRightInd w:val="0"/>
              <w:rPr>
                <w:b/>
              </w:rPr>
            </w:pPr>
            <w:r w:rsidRPr="00D80475">
              <w:rPr>
                <w:rFonts w:cs="Tahoma"/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6FA051D" w14:textId="01036F73" w:rsidR="00180052" w:rsidRPr="00A41C01" w:rsidRDefault="00A41C01" w:rsidP="00DF4F01">
            <w:pPr>
              <w:jc w:val="center"/>
              <w:rPr>
                <w:color w:val="000000" w:themeColor="text1"/>
              </w:rPr>
            </w:pPr>
            <w:r w:rsidRPr="00A41C01">
              <w:rPr>
                <w:color w:val="000000" w:themeColor="text1"/>
              </w:rPr>
              <w:t>20</w:t>
            </w:r>
            <w:r w:rsidRPr="00A41C01">
              <w:rPr>
                <w:color w:val="000000" w:themeColor="text1"/>
                <w:vertAlign w:val="superscript"/>
              </w:rPr>
              <w:t>th</w:t>
            </w:r>
            <w:r w:rsidRPr="00A41C01">
              <w:rPr>
                <w:color w:val="000000" w:themeColor="text1"/>
              </w:rPr>
              <w:t xml:space="preserve"> </w:t>
            </w:r>
            <w:r w:rsidR="00DE05C1" w:rsidRPr="00A41C01">
              <w:rPr>
                <w:color w:val="000000" w:themeColor="text1"/>
              </w:rPr>
              <w:t>December 2022</w:t>
            </w:r>
          </w:p>
        </w:tc>
        <w:tc>
          <w:tcPr>
            <w:tcW w:w="1701" w:type="dxa"/>
          </w:tcPr>
          <w:p w14:paraId="20A32758" w14:textId="77777777" w:rsidR="00180052" w:rsidRPr="007779FB" w:rsidRDefault="00180052" w:rsidP="00A8789F">
            <w:pPr>
              <w:jc w:val="center"/>
              <w:rPr>
                <w:color w:val="000000" w:themeColor="text1"/>
              </w:rPr>
            </w:pPr>
          </w:p>
          <w:p w14:paraId="77F69EC4" w14:textId="77777777" w:rsidR="00180052" w:rsidRPr="00DE05C1" w:rsidRDefault="00180052" w:rsidP="00A8789F">
            <w:pPr>
              <w:jc w:val="center"/>
              <w:rPr>
                <w:color w:val="000000" w:themeColor="text1"/>
                <w:highlight w:val="yellow"/>
              </w:rPr>
            </w:pPr>
          </w:p>
          <w:p w14:paraId="15911F49" w14:textId="77777777" w:rsidR="008C08DC" w:rsidRPr="00A41C01" w:rsidRDefault="00DE05C1" w:rsidP="008C08DC">
            <w:pPr>
              <w:jc w:val="center"/>
              <w:rPr>
                <w:color w:val="000000" w:themeColor="text1"/>
              </w:rPr>
            </w:pPr>
            <w:r w:rsidRPr="00A41C01">
              <w:rPr>
                <w:color w:val="000000" w:themeColor="text1"/>
              </w:rPr>
              <w:t>08</w:t>
            </w:r>
            <w:r w:rsidRPr="00A41C01">
              <w:rPr>
                <w:color w:val="000000" w:themeColor="text1"/>
                <w:vertAlign w:val="superscript"/>
              </w:rPr>
              <w:t>th</w:t>
            </w:r>
            <w:r w:rsidRPr="00A41C01">
              <w:rPr>
                <w:color w:val="000000" w:themeColor="text1"/>
              </w:rPr>
              <w:t xml:space="preserve"> February 2023</w:t>
            </w:r>
            <w:r w:rsidR="008C08DC" w:rsidRPr="00A41C01">
              <w:rPr>
                <w:color w:val="000000" w:themeColor="text1"/>
              </w:rPr>
              <w:t>,</w:t>
            </w:r>
          </w:p>
          <w:p w14:paraId="422B4C02" w14:textId="33B72EF4" w:rsidR="008C08DC" w:rsidRPr="00A41C01" w:rsidRDefault="008C08DC" w:rsidP="008C08DC">
            <w:pPr>
              <w:jc w:val="center"/>
              <w:rPr>
                <w:color w:val="000000" w:themeColor="text1"/>
              </w:rPr>
            </w:pPr>
            <w:r w:rsidRPr="00A41C01">
              <w:rPr>
                <w:color w:val="000000" w:themeColor="text1"/>
              </w:rPr>
              <w:t>3 p.m.</w:t>
            </w:r>
          </w:p>
          <w:p w14:paraId="65598130" w14:textId="42B57E45" w:rsidR="008C08DC" w:rsidRPr="007779FB" w:rsidRDefault="008C08DC" w:rsidP="00A87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A51E6E5" w14:textId="7014C687" w:rsidR="00180052" w:rsidRPr="007779FB" w:rsidRDefault="00DE05C1" w:rsidP="00DF4F01">
            <w:pPr>
              <w:jc w:val="center"/>
              <w:rPr>
                <w:color w:val="000000" w:themeColor="text1"/>
              </w:rPr>
            </w:pPr>
            <w:r w:rsidRPr="00A41C01">
              <w:rPr>
                <w:color w:val="000000" w:themeColor="text1"/>
              </w:rPr>
              <w:t>June 2023</w:t>
            </w:r>
          </w:p>
        </w:tc>
        <w:tc>
          <w:tcPr>
            <w:tcW w:w="2410" w:type="dxa"/>
          </w:tcPr>
          <w:p w14:paraId="35BE07F9" w14:textId="032B2C5F" w:rsidR="00180052" w:rsidRDefault="00180052" w:rsidP="00A8789F">
            <w:pPr>
              <w:jc w:val="center"/>
              <w:rPr>
                <w:color w:val="000000" w:themeColor="text1"/>
              </w:rPr>
            </w:pPr>
          </w:p>
          <w:p w14:paraId="0E2C9AAD" w14:textId="77777777" w:rsidR="00180052" w:rsidRDefault="008A7A3E" w:rsidP="00A8789F">
            <w:pPr>
              <w:jc w:val="center"/>
              <w:rPr>
                <w:rStyle w:val="Hyperlink"/>
                <w:lang w:val="en-IE" w:eastAsia="en-US"/>
              </w:rPr>
            </w:pPr>
            <w:hyperlink r:id="rId9" w:history="1">
              <w:r w:rsidR="00180052" w:rsidRPr="00863705">
                <w:rPr>
                  <w:rStyle w:val="Hyperlink"/>
                  <w:lang w:val="en-IE" w:eastAsia="en-US"/>
                </w:rPr>
                <w:t>www.etenders.gov.ie</w:t>
              </w:r>
            </w:hyperlink>
          </w:p>
          <w:p w14:paraId="29CBDDFD" w14:textId="77777777" w:rsidR="00BB193B" w:rsidRDefault="00BB193B" w:rsidP="00A8789F">
            <w:pPr>
              <w:jc w:val="center"/>
              <w:rPr>
                <w:rStyle w:val="Hyperlink"/>
              </w:rPr>
            </w:pPr>
          </w:p>
          <w:p w14:paraId="5644A6C2" w14:textId="60D9EE23" w:rsidR="00BB193B" w:rsidRPr="00DE05C1" w:rsidRDefault="00BB193B" w:rsidP="004E6D1A">
            <w:pPr>
              <w:jc w:val="center"/>
              <w:rPr>
                <w:color w:val="000000" w:themeColor="text1"/>
              </w:rPr>
            </w:pPr>
            <w:r w:rsidRPr="00DE05C1">
              <w:rPr>
                <w:color w:val="000000" w:themeColor="text1"/>
              </w:rPr>
              <w:t>System I</w:t>
            </w:r>
            <w:r w:rsidR="00E848B4">
              <w:rPr>
                <w:color w:val="000000" w:themeColor="text1"/>
              </w:rPr>
              <w:t>d</w:t>
            </w:r>
            <w:r w:rsidRPr="00DE05C1">
              <w:rPr>
                <w:color w:val="000000" w:themeColor="text1"/>
              </w:rPr>
              <w:t xml:space="preserve"> </w:t>
            </w:r>
            <w:r w:rsidR="00A41C01" w:rsidRPr="00A41C01">
              <w:rPr>
                <w:color w:val="000000" w:themeColor="text1"/>
              </w:rPr>
              <w:t>230200</w:t>
            </w:r>
          </w:p>
        </w:tc>
      </w:tr>
    </w:tbl>
    <w:p w14:paraId="79F7C2C1" w14:textId="77777777" w:rsidR="00EA1F42" w:rsidRDefault="00EA1F42" w:rsidP="00EA1F42">
      <w:pPr>
        <w:spacing w:after="0"/>
        <w:rPr>
          <w:color w:val="000000" w:themeColor="text1"/>
        </w:rPr>
      </w:pPr>
    </w:p>
    <w:sectPr w:rsidR="00EA1F42" w:rsidSect="00E9219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2E61"/>
    <w:multiLevelType w:val="multilevel"/>
    <w:tmpl w:val="337EC7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none"/>
      <w:lvlRestart w:val="0"/>
      <w:isLgl/>
      <w:lvlText w:val="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2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42"/>
    <w:rsid w:val="00024E43"/>
    <w:rsid w:val="00042292"/>
    <w:rsid w:val="00056B49"/>
    <w:rsid w:val="00063EE5"/>
    <w:rsid w:val="0008314E"/>
    <w:rsid w:val="000878FC"/>
    <w:rsid w:val="000B15CB"/>
    <w:rsid w:val="000C1369"/>
    <w:rsid w:val="000D3471"/>
    <w:rsid w:val="0011041F"/>
    <w:rsid w:val="00140D83"/>
    <w:rsid w:val="00152E82"/>
    <w:rsid w:val="0017485F"/>
    <w:rsid w:val="00174D9F"/>
    <w:rsid w:val="00180052"/>
    <w:rsid w:val="001A6F58"/>
    <w:rsid w:val="001B7EC3"/>
    <w:rsid w:val="001C67FB"/>
    <w:rsid w:val="001F5CD7"/>
    <w:rsid w:val="0022077E"/>
    <w:rsid w:val="00245A7E"/>
    <w:rsid w:val="00265084"/>
    <w:rsid w:val="00282D4D"/>
    <w:rsid w:val="002B37E2"/>
    <w:rsid w:val="002B5D69"/>
    <w:rsid w:val="002C3AA2"/>
    <w:rsid w:val="002F1B4D"/>
    <w:rsid w:val="002F22F6"/>
    <w:rsid w:val="00311702"/>
    <w:rsid w:val="0035023B"/>
    <w:rsid w:val="00363353"/>
    <w:rsid w:val="00376E5E"/>
    <w:rsid w:val="003A0F8A"/>
    <w:rsid w:val="003B4F31"/>
    <w:rsid w:val="003C03C3"/>
    <w:rsid w:val="003D7120"/>
    <w:rsid w:val="0040101C"/>
    <w:rsid w:val="00440D14"/>
    <w:rsid w:val="00452672"/>
    <w:rsid w:val="00462EEC"/>
    <w:rsid w:val="004655FE"/>
    <w:rsid w:val="004B10AB"/>
    <w:rsid w:val="004B7597"/>
    <w:rsid w:val="004E1DFE"/>
    <w:rsid w:val="004E6D1A"/>
    <w:rsid w:val="00524679"/>
    <w:rsid w:val="00560783"/>
    <w:rsid w:val="005B28F4"/>
    <w:rsid w:val="005F76A7"/>
    <w:rsid w:val="00635514"/>
    <w:rsid w:val="006944E6"/>
    <w:rsid w:val="006B47D8"/>
    <w:rsid w:val="006D1BBE"/>
    <w:rsid w:val="006D61DF"/>
    <w:rsid w:val="006E15CB"/>
    <w:rsid w:val="006E34B2"/>
    <w:rsid w:val="007779FB"/>
    <w:rsid w:val="007861C7"/>
    <w:rsid w:val="007B49E9"/>
    <w:rsid w:val="007E299A"/>
    <w:rsid w:val="00830E23"/>
    <w:rsid w:val="00857285"/>
    <w:rsid w:val="00887EAE"/>
    <w:rsid w:val="008A7A3E"/>
    <w:rsid w:val="008C08DC"/>
    <w:rsid w:val="008D502E"/>
    <w:rsid w:val="008D69C4"/>
    <w:rsid w:val="008F3AE2"/>
    <w:rsid w:val="00912B71"/>
    <w:rsid w:val="009223D2"/>
    <w:rsid w:val="00925345"/>
    <w:rsid w:val="009932CA"/>
    <w:rsid w:val="00995694"/>
    <w:rsid w:val="009A0C68"/>
    <w:rsid w:val="009A16AF"/>
    <w:rsid w:val="009A47A9"/>
    <w:rsid w:val="00A1221D"/>
    <w:rsid w:val="00A41C01"/>
    <w:rsid w:val="00A64697"/>
    <w:rsid w:val="00A66C5E"/>
    <w:rsid w:val="00A75D45"/>
    <w:rsid w:val="00A8789F"/>
    <w:rsid w:val="00AB0BC4"/>
    <w:rsid w:val="00AC303D"/>
    <w:rsid w:val="00B144B4"/>
    <w:rsid w:val="00B30051"/>
    <w:rsid w:val="00B317F3"/>
    <w:rsid w:val="00B52F6C"/>
    <w:rsid w:val="00B547A3"/>
    <w:rsid w:val="00B5563B"/>
    <w:rsid w:val="00BB193B"/>
    <w:rsid w:val="00BD37D0"/>
    <w:rsid w:val="00BD6D51"/>
    <w:rsid w:val="00BF6F83"/>
    <w:rsid w:val="00C456AF"/>
    <w:rsid w:val="00C50EDB"/>
    <w:rsid w:val="00C53246"/>
    <w:rsid w:val="00C81E7F"/>
    <w:rsid w:val="00CB7DBE"/>
    <w:rsid w:val="00CC10D8"/>
    <w:rsid w:val="00CD0E75"/>
    <w:rsid w:val="00D508BA"/>
    <w:rsid w:val="00D51A1E"/>
    <w:rsid w:val="00D80475"/>
    <w:rsid w:val="00DB0EBE"/>
    <w:rsid w:val="00DB6537"/>
    <w:rsid w:val="00DC62B7"/>
    <w:rsid w:val="00DD073C"/>
    <w:rsid w:val="00DE05C1"/>
    <w:rsid w:val="00DE0992"/>
    <w:rsid w:val="00DF4F01"/>
    <w:rsid w:val="00E26E24"/>
    <w:rsid w:val="00E31547"/>
    <w:rsid w:val="00E64AAF"/>
    <w:rsid w:val="00E762C6"/>
    <w:rsid w:val="00E848B4"/>
    <w:rsid w:val="00E92191"/>
    <w:rsid w:val="00EA1F42"/>
    <w:rsid w:val="00EB6258"/>
    <w:rsid w:val="00EC07E8"/>
    <w:rsid w:val="00EC0E47"/>
    <w:rsid w:val="00EC681A"/>
    <w:rsid w:val="00F747F9"/>
    <w:rsid w:val="00F96D6E"/>
    <w:rsid w:val="00FD420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B27C"/>
  <w15:docId w15:val="{62F870CE-A9C3-4947-B92D-A441F56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1F42"/>
    <w:rPr>
      <w:color w:val="0000FF"/>
      <w:u w:val="single"/>
      <w:lang w:val="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C456AF"/>
    <w:pPr>
      <w:numPr>
        <w:numId w:val="1"/>
      </w:numPr>
      <w:spacing w:after="0" w:line="240" w:lineRule="auto"/>
      <w:contextualSpacing/>
    </w:pPr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355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1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4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4F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4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enders.gov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enders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76D2-EC7D-4C66-8DA7-512D5DC8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County Council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osulliv</dc:creator>
  <cp:lastModifiedBy>Mairead Roche</cp:lastModifiedBy>
  <cp:revision>2</cp:revision>
  <cp:lastPrinted>2016-09-20T13:42:00Z</cp:lastPrinted>
  <dcterms:created xsi:type="dcterms:W3CDTF">2023-01-04T09:30:00Z</dcterms:created>
  <dcterms:modified xsi:type="dcterms:W3CDTF">2023-01-04T09:30:00Z</dcterms:modified>
</cp:coreProperties>
</file>